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673"/>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61"/>
        <w:gridCol w:w="5103"/>
      </w:tblGrid>
      <w:tr w:rsidR="00E61DA1" w:rsidRPr="00DD3245" w14:paraId="64FA283E" w14:textId="77777777" w:rsidTr="00E61DA1">
        <w:trPr>
          <w:trHeight w:val="1465"/>
        </w:trPr>
        <w:tc>
          <w:tcPr>
            <w:tcW w:w="4361" w:type="dxa"/>
            <w:shd w:val="clear" w:color="auto" w:fill="auto"/>
          </w:tcPr>
          <w:p w14:paraId="239A7923" w14:textId="77777777" w:rsidR="00E61DA1" w:rsidRPr="00DD3245" w:rsidRDefault="00A20AEA" w:rsidP="00E61DA1">
            <w:pPr>
              <w:jc w:val="center"/>
              <w:rPr>
                <w:rFonts w:ascii="Arial" w:hAnsi="Arial" w:cs="Arial"/>
              </w:rPr>
            </w:pPr>
            <w:r>
              <w:rPr>
                <w:rFonts w:ascii="Arial" w:hAnsi="Arial"/>
                <w:noProof/>
                <w:lang w:eastAsia="en-GB"/>
              </w:rPr>
              <w:fldChar w:fldCharType="begin"/>
            </w:r>
            <w:r>
              <w:rPr>
                <w:rFonts w:ascii="Arial" w:hAnsi="Arial"/>
                <w:noProof/>
                <w:lang w:eastAsia="en-GB"/>
              </w:rPr>
              <w:instrText xml:space="preserve"> </w:instrText>
            </w:r>
            <w:r>
              <w:rPr>
                <w:rFonts w:ascii="Arial" w:hAnsi="Arial"/>
                <w:noProof/>
                <w:lang w:eastAsia="en-GB"/>
              </w:rPr>
              <w:instrText>INCLUDEPICTURE  "cid:image009.png@01D5DC2C.D0F50D10" \* MERGEFORMATINET</w:instrText>
            </w:r>
            <w:r>
              <w:rPr>
                <w:rFonts w:ascii="Arial" w:hAnsi="Arial"/>
                <w:noProof/>
                <w:lang w:eastAsia="en-GB"/>
              </w:rPr>
              <w:instrText xml:space="preserve"> </w:instrText>
            </w:r>
            <w:r>
              <w:rPr>
                <w:rFonts w:ascii="Arial" w:hAnsi="Arial"/>
                <w:noProof/>
                <w:lang w:eastAsia="en-GB"/>
              </w:rPr>
              <w:fldChar w:fldCharType="separate"/>
            </w:r>
            <w:r>
              <w:rPr>
                <w:rFonts w:ascii="Arial" w:hAnsi="Arial"/>
                <w:noProof/>
                <w:lang w:eastAsia="en-GB"/>
              </w:rPr>
              <w:pict w14:anchorId="5E532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63.5pt;visibility:visible">
                  <v:imagedata r:id="rId7" r:href="rId8"/>
                </v:shape>
              </w:pict>
            </w:r>
            <w:r>
              <w:rPr>
                <w:rFonts w:ascii="Arial" w:hAnsi="Arial"/>
                <w:noProof/>
                <w:lang w:eastAsia="en-GB"/>
              </w:rPr>
              <w:fldChar w:fldCharType="end"/>
            </w:r>
            <w:r w:rsidR="00E61DA1" w:rsidRPr="00DD3245">
              <w:rPr>
                <w:rFonts w:ascii="Arial" w:hAnsi="Arial" w:cs="Arial"/>
              </w:rPr>
              <w:t xml:space="preserve">                                          </w:t>
            </w:r>
          </w:p>
        </w:tc>
        <w:tc>
          <w:tcPr>
            <w:tcW w:w="5103" w:type="dxa"/>
            <w:shd w:val="clear" w:color="auto" w:fill="auto"/>
          </w:tcPr>
          <w:p w14:paraId="782600D0" w14:textId="61582FD6" w:rsidR="00E61DA1" w:rsidRPr="00DD3245" w:rsidRDefault="00E61DA1" w:rsidP="00E61DA1">
            <w:pPr>
              <w:rPr>
                <w:rFonts w:ascii="Arial" w:hAnsi="Arial" w:cs="Arial"/>
              </w:rPr>
            </w:pPr>
            <w:r w:rsidRPr="00DD3245">
              <w:rPr>
                <w:rFonts w:ascii="Arial" w:hAnsi="Arial" w:cs="Arial"/>
              </w:rPr>
              <w:t xml:space="preserve">        </w:t>
            </w:r>
            <w:r w:rsidRPr="00DD3245">
              <w:rPr>
                <w:rFonts w:ascii="Arial" w:hAnsi="Arial" w:cs="Arial"/>
                <w:noProof/>
              </w:rPr>
              <w:drawing>
                <wp:inline distT="0" distB="0" distL="0" distR="0" wp14:anchorId="36DBA6CB" wp14:editId="266DE789">
                  <wp:extent cx="1758950" cy="75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8950" cy="751840"/>
                          </a:xfrm>
                          <a:prstGeom prst="rect">
                            <a:avLst/>
                          </a:prstGeom>
                          <a:noFill/>
                          <a:ln>
                            <a:noFill/>
                          </a:ln>
                        </pic:spPr>
                      </pic:pic>
                    </a:graphicData>
                  </a:graphic>
                </wp:inline>
              </w:drawing>
            </w:r>
          </w:p>
        </w:tc>
      </w:tr>
    </w:tbl>
    <w:p w14:paraId="52588E18" w14:textId="77777777" w:rsidR="00E61DA1" w:rsidRDefault="00E61DA1" w:rsidP="004214DC">
      <w:pPr>
        <w:jc w:val="both"/>
        <w:rPr>
          <w:rFonts w:ascii="Arial" w:hAnsi="Arial" w:cs="Arial"/>
          <w:b/>
          <w:bCs/>
        </w:rPr>
      </w:pPr>
    </w:p>
    <w:p w14:paraId="42E78005" w14:textId="76FFE747" w:rsidR="009F18A4" w:rsidRPr="00E61DA1" w:rsidRDefault="00E61DA1" w:rsidP="004214DC">
      <w:pPr>
        <w:jc w:val="both"/>
        <w:rPr>
          <w:rFonts w:ascii="Arial" w:hAnsi="Arial" w:cs="Arial"/>
          <w:b/>
          <w:bCs/>
          <w:sz w:val="24"/>
          <w:szCs w:val="24"/>
        </w:rPr>
      </w:pPr>
      <w:r w:rsidRPr="00E61DA1">
        <w:rPr>
          <w:rFonts w:ascii="Arial" w:hAnsi="Arial" w:cs="Arial"/>
          <w:b/>
          <w:bCs/>
          <w:sz w:val="24"/>
          <w:szCs w:val="24"/>
        </w:rPr>
        <w:t>O</w:t>
      </w:r>
      <w:r w:rsidR="00336412" w:rsidRPr="00E61DA1">
        <w:rPr>
          <w:rFonts w:ascii="Arial" w:hAnsi="Arial" w:cs="Arial"/>
          <w:b/>
          <w:bCs/>
          <w:sz w:val="24"/>
          <w:szCs w:val="24"/>
        </w:rPr>
        <w:t>ne minute guide SUDIC—Sudden Unexpected Death in Childhood</w:t>
      </w:r>
    </w:p>
    <w:p w14:paraId="312A8F04" w14:textId="5F205297" w:rsidR="00336412" w:rsidRPr="00E61DA1" w:rsidRDefault="00336412" w:rsidP="004214DC">
      <w:pPr>
        <w:jc w:val="both"/>
        <w:rPr>
          <w:rFonts w:ascii="Arial" w:hAnsi="Arial" w:cs="Arial"/>
        </w:rPr>
      </w:pPr>
      <w:r w:rsidRPr="00026249">
        <w:rPr>
          <w:rFonts w:ascii="Arial" w:hAnsi="Arial" w:cs="Arial"/>
          <w:b/>
          <w:bCs/>
          <w:i/>
          <w:iCs/>
        </w:rPr>
        <w:t>What is SUDIC?</w:t>
      </w:r>
      <w:r w:rsidRPr="00E61DA1">
        <w:rPr>
          <w:rFonts w:ascii="Arial" w:hAnsi="Arial" w:cs="Arial"/>
        </w:rPr>
        <w:t xml:space="preserve"> SUDIC stands for Sudden Unexpected Death in Childhood. Working Together 2018 (Chapter 5) (guide) defines this as: ‘The death of a child (less than 18 years old) that was not anticipated as a significant possibility 24 hours before the death; or where there was an unexpected collapse or incident leading to, or precipitating, the events that lead to the death’. Following the unexpected death of a child the SUDIC process is instigated by the SUDIC team.</w:t>
      </w:r>
    </w:p>
    <w:p w14:paraId="760D4750" w14:textId="0B610BA2" w:rsidR="00336412" w:rsidRPr="00E61DA1" w:rsidRDefault="00336412" w:rsidP="004214DC">
      <w:pPr>
        <w:jc w:val="both"/>
        <w:rPr>
          <w:rFonts w:ascii="Arial" w:hAnsi="Arial" w:cs="Arial"/>
        </w:rPr>
      </w:pPr>
      <w:r w:rsidRPr="00026249">
        <w:rPr>
          <w:rFonts w:ascii="Arial" w:hAnsi="Arial" w:cs="Arial"/>
          <w:b/>
          <w:bCs/>
          <w:i/>
          <w:iCs/>
        </w:rPr>
        <w:t>What is the SUDIC process?</w:t>
      </w:r>
      <w:r w:rsidRPr="00026249">
        <w:rPr>
          <w:rFonts w:ascii="Arial" w:hAnsi="Arial" w:cs="Arial"/>
          <w:b/>
          <w:bCs/>
        </w:rPr>
        <w:t xml:space="preserve"> </w:t>
      </w:r>
      <w:r w:rsidRPr="00E61DA1">
        <w:rPr>
          <w:rFonts w:ascii="Arial" w:hAnsi="Arial" w:cs="Arial"/>
        </w:rPr>
        <w:t xml:space="preserve">The SUDIC process is the Joint Agency </w:t>
      </w:r>
      <w:r w:rsidR="00A73DAC" w:rsidRPr="00E61DA1">
        <w:rPr>
          <w:rFonts w:ascii="Arial" w:hAnsi="Arial" w:cs="Arial"/>
        </w:rPr>
        <w:t>Response to</w:t>
      </w:r>
      <w:r w:rsidRPr="00E61DA1">
        <w:rPr>
          <w:rFonts w:ascii="Arial" w:hAnsi="Arial" w:cs="Arial"/>
        </w:rPr>
        <w:t xml:space="preserve"> unexpected child deaths and forms part of the statutory Child Death Overview Process. The SUDIC process aims to understand the reasons for the child’s death, address</w:t>
      </w:r>
      <w:r w:rsidR="00E61DA1">
        <w:rPr>
          <w:rFonts w:ascii="Arial" w:hAnsi="Arial" w:cs="Arial"/>
        </w:rPr>
        <w:t>es</w:t>
      </w:r>
      <w:r w:rsidRPr="00E61DA1">
        <w:rPr>
          <w:rFonts w:ascii="Arial" w:hAnsi="Arial" w:cs="Arial"/>
        </w:rPr>
        <w:t xml:space="preserve"> the possible needs of other children and family members in the household and also consider</w:t>
      </w:r>
      <w:r w:rsidR="00E61DA1">
        <w:rPr>
          <w:rFonts w:ascii="Arial" w:hAnsi="Arial" w:cs="Arial"/>
        </w:rPr>
        <w:t>s</w:t>
      </w:r>
      <w:r w:rsidRPr="00E61DA1">
        <w:rPr>
          <w:rFonts w:ascii="Arial" w:hAnsi="Arial" w:cs="Arial"/>
        </w:rPr>
        <w:t xml:space="preserve"> any lessons to be learnt to safeguard and promote children’s welfare in the future. The decision of whether a child’s death meets the SUDIC criteria is made by the Designated Paediatrician for SUDIC and throughout the process the child remains under the jurisdiction of HM Coroner.</w:t>
      </w:r>
    </w:p>
    <w:p w14:paraId="3436A51F" w14:textId="27515F5F" w:rsidR="00336412" w:rsidRPr="00E61DA1" w:rsidRDefault="00336412" w:rsidP="004214DC">
      <w:pPr>
        <w:keepNext/>
        <w:keepLines/>
        <w:spacing w:after="0"/>
        <w:jc w:val="both"/>
        <w:outlineLvl w:val="2"/>
        <w:rPr>
          <w:rFonts w:ascii="Arial" w:eastAsiaTheme="majorEastAsia" w:hAnsi="Arial" w:cs="Arial"/>
          <w:b/>
          <w:bCs/>
          <w:color w:val="4F81BD" w:themeColor="accent1"/>
        </w:rPr>
      </w:pPr>
      <w:r w:rsidRPr="00026249">
        <w:rPr>
          <w:rFonts w:ascii="Arial" w:eastAsiaTheme="majorEastAsia" w:hAnsi="Arial" w:cs="Arial"/>
          <w:b/>
          <w:bCs/>
          <w:i/>
          <w:iCs/>
        </w:rPr>
        <w:t>Deaths which require a Joint Agency Response (JAR) are those which</w:t>
      </w:r>
      <w:r w:rsidR="00E61DA1" w:rsidRPr="00026249">
        <w:rPr>
          <w:rFonts w:ascii="Arial" w:eastAsiaTheme="majorEastAsia" w:hAnsi="Arial" w:cs="Arial"/>
          <w:b/>
          <w:bCs/>
          <w:i/>
          <w:iCs/>
        </w:rPr>
        <w:t>:</w:t>
      </w:r>
    </w:p>
    <w:p w14:paraId="47C4A190" w14:textId="1A428297" w:rsidR="00336412" w:rsidRPr="00E61DA1" w:rsidRDefault="00336412" w:rsidP="00E61DA1">
      <w:pPr>
        <w:numPr>
          <w:ilvl w:val="0"/>
          <w:numId w:val="1"/>
        </w:numPr>
        <w:ind w:left="426" w:hanging="426"/>
        <w:contextualSpacing/>
        <w:rPr>
          <w:rFonts w:ascii="Arial" w:hAnsi="Arial" w:cs="Arial"/>
        </w:rPr>
      </w:pPr>
      <w:r w:rsidRPr="00E61DA1">
        <w:rPr>
          <w:rFonts w:ascii="Arial" w:hAnsi="Arial" w:cs="Arial"/>
        </w:rPr>
        <w:t xml:space="preserve">are or could be due to external </w:t>
      </w:r>
      <w:r w:rsidR="00E61DA1" w:rsidRPr="00E61DA1">
        <w:rPr>
          <w:rFonts w:ascii="Arial" w:hAnsi="Arial" w:cs="Arial"/>
        </w:rPr>
        <w:t>causes</w:t>
      </w:r>
      <w:r w:rsidR="00E61DA1">
        <w:rPr>
          <w:rFonts w:ascii="Arial" w:hAnsi="Arial" w:cs="Arial"/>
        </w:rPr>
        <w:t>.</w:t>
      </w:r>
    </w:p>
    <w:p w14:paraId="5D76E24F" w14:textId="62E60215" w:rsidR="00336412" w:rsidRPr="00E61DA1" w:rsidRDefault="00336412" w:rsidP="00E61DA1">
      <w:pPr>
        <w:numPr>
          <w:ilvl w:val="0"/>
          <w:numId w:val="1"/>
        </w:numPr>
        <w:ind w:left="426" w:hanging="426"/>
        <w:contextualSpacing/>
        <w:rPr>
          <w:rFonts w:ascii="Arial" w:hAnsi="Arial" w:cs="Arial"/>
        </w:rPr>
      </w:pPr>
      <w:r w:rsidRPr="00E61DA1">
        <w:rPr>
          <w:rFonts w:ascii="Arial" w:hAnsi="Arial" w:cs="Arial"/>
        </w:rPr>
        <w:t xml:space="preserve">are sudden and there is no immediately apparent cause including Sudden Unexpected Death in Childhood (SUDIC - the death or collapse leading to death of a </w:t>
      </w:r>
      <w:r w:rsidR="0057346E" w:rsidRPr="00E61DA1">
        <w:rPr>
          <w:rFonts w:ascii="Arial" w:hAnsi="Arial" w:cs="Arial"/>
        </w:rPr>
        <w:t>child which</w:t>
      </w:r>
      <w:r w:rsidRPr="00E61DA1">
        <w:rPr>
          <w:rFonts w:ascii="Arial" w:hAnsi="Arial" w:cs="Arial"/>
        </w:rPr>
        <w:t xml:space="preserve"> would not have been reasonably expected to occur 24 hours previously and in whom no</w:t>
      </w:r>
      <w:r w:rsidR="00E61DA1">
        <w:rPr>
          <w:rFonts w:ascii="Arial" w:hAnsi="Arial" w:cs="Arial"/>
        </w:rPr>
        <w:t xml:space="preserve"> </w:t>
      </w:r>
      <w:r w:rsidRPr="00E61DA1">
        <w:rPr>
          <w:rFonts w:ascii="Arial" w:hAnsi="Arial" w:cs="Arial"/>
        </w:rPr>
        <w:t>pre-existing medical cause of death is apparent)</w:t>
      </w:r>
      <w:r w:rsidR="00E61DA1">
        <w:rPr>
          <w:rFonts w:ascii="Arial" w:hAnsi="Arial" w:cs="Arial"/>
        </w:rPr>
        <w:t>.</w:t>
      </w:r>
    </w:p>
    <w:p w14:paraId="34D4D81A" w14:textId="44052053" w:rsidR="00336412" w:rsidRPr="00E61DA1" w:rsidRDefault="00336412" w:rsidP="00E61DA1">
      <w:pPr>
        <w:numPr>
          <w:ilvl w:val="0"/>
          <w:numId w:val="1"/>
        </w:numPr>
        <w:ind w:left="426" w:hanging="426"/>
        <w:contextualSpacing/>
        <w:rPr>
          <w:rFonts w:ascii="Arial" w:hAnsi="Arial" w:cs="Arial"/>
        </w:rPr>
      </w:pPr>
      <w:r w:rsidRPr="00E61DA1">
        <w:rPr>
          <w:rFonts w:ascii="Arial" w:hAnsi="Arial" w:cs="Arial"/>
        </w:rPr>
        <w:t>occur in custody, or where the child was detained under the Mental Health Act</w:t>
      </w:r>
      <w:r w:rsidR="00E61DA1">
        <w:rPr>
          <w:rFonts w:ascii="Arial" w:hAnsi="Arial" w:cs="Arial"/>
        </w:rPr>
        <w:t>.</w:t>
      </w:r>
    </w:p>
    <w:p w14:paraId="64732A65" w14:textId="13B5F875" w:rsidR="00336412" w:rsidRPr="00E61DA1" w:rsidRDefault="00336412" w:rsidP="00E61DA1">
      <w:pPr>
        <w:numPr>
          <w:ilvl w:val="0"/>
          <w:numId w:val="1"/>
        </w:numPr>
        <w:ind w:left="426" w:hanging="426"/>
        <w:contextualSpacing/>
        <w:rPr>
          <w:rFonts w:ascii="Arial" w:hAnsi="Arial" w:cs="Arial"/>
        </w:rPr>
      </w:pPr>
      <w:r w:rsidRPr="00E61DA1">
        <w:rPr>
          <w:rFonts w:ascii="Arial" w:hAnsi="Arial" w:cs="Arial"/>
        </w:rPr>
        <w:t>the initial circumstances raise any suspicions that the death may not have been natural</w:t>
      </w:r>
      <w:r w:rsidR="00E61DA1">
        <w:rPr>
          <w:rFonts w:ascii="Arial" w:hAnsi="Arial" w:cs="Arial"/>
        </w:rPr>
        <w:t>.</w:t>
      </w:r>
    </w:p>
    <w:p w14:paraId="312E5370" w14:textId="47094DFC" w:rsidR="00336412" w:rsidRPr="00E61DA1" w:rsidRDefault="00336412" w:rsidP="00E61DA1">
      <w:pPr>
        <w:numPr>
          <w:ilvl w:val="0"/>
          <w:numId w:val="1"/>
        </w:numPr>
        <w:ind w:left="426" w:hanging="426"/>
        <w:contextualSpacing/>
        <w:rPr>
          <w:rFonts w:ascii="Arial" w:hAnsi="Arial" w:cs="Arial"/>
        </w:rPr>
      </w:pPr>
      <w:r w:rsidRPr="00E61DA1">
        <w:rPr>
          <w:rFonts w:ascii="Arial" w:hAnsi="Arial" w:cs="Arial"/>
        </w:rPr>
        <w:t>in the case of a stillbirth where no healthcare professional was in attendance</w:t>
      </w:r>
      <w:r w:rsidR="00E61DA1">
        <w:rPr>
          <w:rFonts w:ascii="Arial" w:hAnsi="Arial" w:cs="Arial"/>
        </w:rPr>
        <w:t>.</w:t>
      </w:r>
    </w:p>
    <w:p w14:paraId="1721CA05" w14:textId="77777777" w:rsidR="00336412" w:rsidRPr="00E61DA1" w:rsidRDefault="00336412" w:rsidP="004214DC">
      <w:pPr>
        <w:jc w:val="both"/>
        <w:rPr>
          <w:rFonts w:ascii="Arial" w:hAnsi="Arial" w:cs="Arial"/>
        </w:rPr>
      </w:pPr>
    </w:p>
    <w:p w14:paraId="3DE21B16" w14:textId="77C4868A" w:rsidR="00A73DAC" w:rsidRDefault="00A73DAC" w:rsidP="004214DC">
      <w:pPr>
        <w:keepNext/>
        <w:keepLines/>
        <w:spacing w:before="200" w:after="0"/>
        <w:jc w:val="both"/>
        <w:outlineLvl w:val="1"/>
        <w:rPr>
          <w:rFonts w:ascii="Arial" w:eastAsiaTheme="majorEastAsia" w:hAnsi="Arial" w:cs="Arial"/>
          <w:b/>
          <w:bCs/>
          <w:i/>
          <w:iCs/>
        </w:rPr>
      </w:pPr>
      <w:r w:rsidRPr="00026249">
        <w:rPr>
          <w:rFonts w:ascii="Arial" w:eastAsiaTheme="majorEastAsia" w:hAnsi="Arial" w:cs="Arial"/>
          <w:b/>
          <w:bCs/>
          <w:i/>
          <w:iCs/>
        </w:rPr>
        <w:t>Aims of the JAR</w:t>
      </w:r>
    </w:p>
    <w:p w14:paraId="2635FA14" w14:textId="77777777" w:rsidR="00A73DAC" w:rsidRPr="00E61DA1" w:rsidRDefault="00A73DAC" w:rsidP="004214DC">
      <w:pPr>
        <w:jc w:val="both"/>
        <w:rPr>
          <w:rFonts w:ascii="Arial" w:hAnsi="Arial" w:cs="Arial"/>
        </w:rPr>
      </w:pPr>
      <w:r w:rsidRPr="00E61DA1">
        <w:rPr>
          <w:rFonts w:ascii="Arial" w:hAnsi="Arial" w:cs="Arial"/>
        </w:rPr>
        <w:t>These are to:</w:t>
      </w:r>
    </w:p>
    <w:p w14:paraId="7FC797FF" w14:textId="77777777" w:rsidR="00A73DAC" w:rsidRPr="00E61DA1" w:rsidRDefault="00A73DAC" w:rsidP="004214DC">
      <w:pPr>
        <w:numPr>
          <w:ilvl w:val="0"/>
          <w:numId w:val="2"/>
        </w:numPr>
        <w:spacing w:after="160"/>
        <w:contextualSpacing/>
        <w:jc w:val="both"/>
        <w:rPr>
          <w:rFonts w:ascii="Arial" w:hAnsi="Arial" w:cs="Arial"/>
        </w:rPr>
      </w:pPr>
      <w:r w:rsidRPr="00E61DA1">
        <w:rPr>
          <w:rFonts w:ascii="Arial" w:hAnsi="Arial" w:cs="Arial"/>
        </w:rPr>
        <w:t xml:space="preserve">Establish, as far as possible, the cause or causes of the child’s death. </w:t>
      </w:r>
    </w:p>
    <w:p w14:paraId="271EFD76" w14:textId="77777777" w:rsidR="00A73DAC" w:rsidRPr="00E61DA1" w:rsidRDefault="00A73DAC" w:rsidP="004214DC">
      <w:pPr>
        <w:numPr>
          <w:ilvl w:val="0"/>
          <w:numId w:val="2"/>
        </w:numPr>
        <w:spacing w:after="160"/>
        <w:contextualSpacing/>
        <w:jc w:val="both"/>
        <w:rPr>
          <w:rFonts w:ascii="Arial" w:hAnsi="Arial" w:cs="Arial"/>
        </w:rPr>
      </w:pPr>
      <w:r w:rsidRPr="00E61DA1">
        <w:rPr>
          <w:rFonts w:ascii="Arial" w:hAnsi="Arial" w:cs="Arial"/>
        </w:rPr>
        <w:t xml:space="preserve">Identify any contributory or modifiable factors. </w:t>
      </w:r>
    </w:p>
    <w:p w14:paraId="6AEE5A07" w14:textId="77777777" w:rsidR="00A73DAC" w:rsidRPr="00E61DA1" w:rsidRDefault="00A73DAC" w:rsidP="004214DC">
      <w:pPr>
        <w:numPr>
          <w:ilvl w:val="0"/>
          <w:numId w:val="2"/>
        </w:numPr>
        <w:spacing w:after="160"/>
        <w:contextualSpacing/>
        <w:jc w:val="both"/>
        <w:rPr>
          <w:rFonts w:ascii="Arial" w:hAnsi="Arial" w:cs="Arial"/>
        </w:rPr>
      </w:pPr>
      <w:r w:rsidRPr="00E61DA1">
        <w:rPr>
          <w:rFonts w:ascii="Arial" w:hAnsi="Arial" w:cs="Arial"/>
        </w:rPr>
        <w:t xml:space="preserve">Provide ongoing support to the family. </w:t>
      </w:r>
    </w:p>
    <w:p w14:paraId="5500A74B" w14:textId="77777777" w:rsidR="00A73DAC" w:rsidRPr="00E61DA1" w:rsidRDefault="00A73DAC" w:rsidP="004214DC">
      <w:pPr>
        <w:numPr>
          <w:ilvl w:val="0"/>
          <w:numId w:val="2"/>
        </w:numPr>
        <w:spacing w:after="160"/>
        <w:contextualSpacing/>
        <w:jc w:val="both"/>
        <w:rPr>
          <w:rFonts w:ascii="Arial" w:hAnsi="Arial" w:cs="Arial"/>
        </w:rPr>
      </w:pPr>
      <w:r w:rsidRPr="00E61DA1">
        <w:rPr>
          <w:rFonts w:ascii="Arial" w:hAnsi="Arial" w:cs="Arial"/>
        </w:rPr>
        <w:t xml:space="preserve">Ensure that all statutory obligations are met. </w:t>
      </w:r>
    </w:p>
    <w:p w14:paraId="151EBFB1" w14:textId="77777777" w:rsidR="00A73DAC" w:rsidRPr="00E61DA1" w:rsidRDefault="00A73DAC" w:rsidP="004214DC">
      <w:pPr>
        <w:numPr>
          <w:ilvl w:val="0"/>
          <w:numId w:val="2"/>
        </w:numPr>
        <w:spacing w:after="160"/>
        <w:contextualSpacing/>
        <w:jc w:val="both"/>
        <w:rPr>
          <w:rFonts w:ascii="Arial" w:hAnsi="Arial" w:cs="Arial"/>
        </w:rPr>
      </w:pPr>
      <w:r w:rsidRPr="00E61DA1">
        <w:rPr>
          <w:rFonts w:ascii="Arial" w:hAnsi="Arial" w:cs="Arial"/>
        </w:rPr>
        <w:t>Learn lessons in order to reduce the risks of future child deaths.</w:t>
      </w:r>
    </w:p>
    <w:p w14:paraId="5940BCA7" w14:textId="705C96EC" w:rsidR="00A73DAC" w:rsidRPr="00E61DA1" w:rsidRDefault="00A73DAC" w:rsidP="004214DC">
      <w:pPr>
        <w:numPr>
          <w:ilvl w:val="0"/>
          <w:numId w:val="2"/>
        </w:numPr>
        <w:spacing w:after="160"/>
        <w:contextualSpacing/>
        <w:jc w:val="both"/>
        <w:rPr>
          <w:rFonts w:ascii="Arial" w:hAnsi="Arial" w:cs="Arial"/>
        </w:rPr>
      </w:pPr>
      <w:r w:rsidRPr="00E61DA1">
        <w:rPr>
          <w:rFonts w:ascii="Arial" w:eastAsia="Times New Roman" w:hAnsi="Arial" w:cs="Arial"/>
        </w:rPr>
        <w:t xml:space="preserve">Provide sufficient evidence to the </w:t>
      </w:r>
      <w:r w:rsidR="00026249">
        <w:rPr>
          <w:rFonts w:ascii="Arial" w:eastAsia="Times New Roman" w:hAnsi="Arial" w:cs="Arial"/>
        </w:rPr>
        <w:t>C</w:t>
      </w:r>
      <w:r w:rsidRPr="00E61DA1">
        <w:rPr>
          <w:rFonts w:ascii="Arial" w:eastAsia="Times New Roman" w:hAnsi="Arial" w:cs="Arial"/>
        </w:rPr>
        <w:t xml:space="preserve">oroner, and where required </w:t>
      </w:r>
      <w:r w:rsidR="0057346E" w:rsidRPr="00E61DA1">
        <w:rPr>
          <w:rFonts w:ascii="Arial" w:eastAsia="Times New Roman" w:hAnsi="Arial" w:cs="Arial"/>
        </w:rPr>
        <w:t>inquest, to</w:t>
      </w:r>
      <w:r w:rsidRPr="00E61DA1">
        <w:rPr>
          <w:rFonts w:ascii="Arial" w:eastAsia="Times New Roman" w:hAnsi="Arial" w:cs="Arial"/>
        </w:rPr>
        <w:t xml:space="preserve"> assist in determining the cause of death.</w:t>
      </w:r>
    </w:p>
    <w:p w14:paraId="1D062C0A" w14:textId="77777777" w:rsidR="00E61DA1" w:rsidRDefault="00E61DA1" w:rsidP="004214DC">
      <w:pPr>
        <w:pStyle w:val="Default"/>
        <w:jc w:val="both"/>
        <w:rPr>
          <w:sz w:val="22"/>
          <w:szCs w:val="22"/>
        </w:rPr>
      </w:pPr>
    </w:p>
    <w:p w14:paraId="372E7633" w14:textId="77777777" w:rsidR="00E61DA1" w:rsidRDefault="00E61DA1" w:rsidP="004214DC">
      <w:pPr>
        <w:pStyle w:val="Default"/>
        <w:jc w:val="both"/>
        <w:rPr>
          <w:sz w:val="22"/>
          <w:szCs w:val="22"/>
        </w:rPr>
      </w:pPr>
    </w:p>
    <w:p w14:paraId="23B1982A" w14:textId="77777777" w:rsidR="00E61DA1" w:rsidRDefault="00E61DA1" w:rsidP="004214DC">
      <w:pPr>
        <w:pStyle w:val="Default"/>
        <w:jc w:val="both"/>
        <w:rPr>
          <w:sz w:val="22"/>
          <w:szCs w:val="22"/>
        </w:rPr>
      </w:pPr>
    </w:p>
    <w:p w14:paraId="4E05F7C8" w14:textId="275F0EC6" w:rsidR="00336412" w:rsidRPr="00E61DA1" w:rsidRDefault="00A73DAC" w:rsidP="00026249">
      <w:pPr>
        <w:pStyle w:val="Default"/>
        <w:jc w:val="both"/>
        <w:rPr>
          <w:sz w:val="22"/>
          <w:szCs w:val="22"/>
        </w:rPr>
      </w:pPr>
      <w:r w:rsidRPr="00E61DA1">
        <w:rPr>
          <w:sz w:val="22"/>
          <w:szCs w:val="22"/>
        </w:rPr>
        <w:lastRenderedPageBreak/>
        <w:t xml:space="preserve">A Lead health professional should be assigned. This will either be the Nurse Specialist for Child Death Reviews or the Lead Doctor for The Child Death Overview Panel. This person will ensure that all health responses are </w:t>
      </w:r>
      <w:r w:rsidR="0057346E" w:rsidRPr="00E61DA1">
        <w:rPr>
          <w:sz w:val="22"/>
          <w:szCs w:val="22"/>
        </w:rPr>
        <w:t>implemented and</w:t>
      </w:r>
      <w:r w:rsidRPr="00E61DA1">
        <w:rPr>
          <w:sz w:val="22"/>
          <w:szCs w:val="22"/>
        </w:rPr>
        <w:t xml:space="preserve"> be responsible for on-going liaison with the </w:t>
      </w:r>
      <w:r w:rsidR="00026249">
        <w:rPr>
          <w:sz w:val="22"/>
          <w:szCs w:val="22"/>
        </w:rPr>
        <w:t>P</w:t>
      </w:r>
      <w:r w:rsidRPr="00E61DA1">
        <w:rPr>
          <w:sz w:val="22"/>
          <w:szCs w:val="22"/>
        </w:rPr>
        <w:t xml:space="preserve">olice and other agencies. In Shropshire there is no out-of-hours health rota for a Lead health professional, therefore the role of the lead health professional should be taken up by the senior attending paediatrician. </w:t>
      </w:r>
    </w:p>
    <w:p w14:paraId="14ECFFD5" w14:textId="631F4081" w:rsidR="00A73DAC" w:rsidRPr="00E61DA1" w:rsidRDefault="00A73DAC" w:rsidP="004214DC">
      <w:pPr>
        <w:spacing w:after="160"/>
        <w:ind w:left="720"/>
        <w:contextualSpacing/>
        <w:jc w:val="both"/>
        <w:rPr>
          <w:rFonts w:ascii="Arial" w:hAnsi="Arial" w:cs="Arial"/>
        </w:rPr>
      </w:pPr>
    </w:p>
    <w:tbl>
      <w:tblPr>
        <w:tblW w:w="9130" w:type="dxa"/>
        <w:tblBorders>
          <w:top w:val="single" w:sz="8" w:space="0" w:color="000000"/>
          <w:left w:val="single" w:sz="8" w:space="0" w:color="000000"/>
          <w:bottom w:val="single" w:sz="8" w:space="0" w:color="0000FF"/>
          <w:right w:val="single" w:sz="8" w:space="0" w:color="000000"/>
          <w:insideH w:val="single" w:sz="8" w:space="0" w:color="0000FF"/>
          <w:insideV w:val="single" w:sz="8" w:space="0" w:color="0000FF"/>
        </w:tblBorders>
        <w:shd w:val="clear" w:color="auto" w:fill="DDD9C3" w:themeFill="background2" w:themeFillShade="E6"/>
        <w:tblCellMar>
          <w:left w:w="0" w:type="dxa"/>
          <w:right w:w="0" w:type="dxa"/>
        </w:tblCellMar>
        <w:tblLook w:val="04A0" w:firstRow="1" w:lastRow="0" w:firstColumn="1" w:lastColumn="0" w:noHBand="0" w:noVBand="1"/>
      </w:tblPr>
      <w:tblGrid>
        <w:gridCol w:w="4169"/>
        <w:gridCol w:w="4961"/>
      </w:tblGrid>
      <w:tr w:rsidR="00A73DAC" w:rsidRPr="00E61DA1" w14:paraId="5BF0CCF7" w14:textId="77777777" w:rsidTr="00026249">
        <w:trPr>
          <w:trHeight w:val="875"/>
        </w:trPr>
        <w:tc>
          <w:tcPr>
            <w:tcW w:w="4169" w:type="dxa"/>
            <w:shd w:val="clear" w:color="auto" w:fill="DDD9C3" w:themeFill="background2" w:themeFillShade="E6"/>
            <w:tcMar>
              <w:top w:w="58" w:type="dxa"/>
              <w:left w:w="58" w:type="dxa"/>
              <w:bottom w:w="58" w:type="dxa"/>
              <w:right w:w="58" w:type="dxa"/>
            </w:tcMar>
            <w:hideMark/>
          </w:tcPr>
          <w:p w14:paraId="5C520C6F" w14:textId="1DB94509" w:rsidR="00A73DAC"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noProof/>
                <w:sz w:val="20"/>
                <w:szCs w:val="20"/>
              </w:rPr>
              <mc:AlternateContent>
                <mc:Choice Requires="wps">
                  <w:drawing>
                    <wp:anchor distT="36576" distB="36576" distL="36576" distR="36576" simplePos="0" relativeHeight="251659264" behindDoc="0" locked="0" layoutInCell="1" allowOverlap="1" wp14:anchorId="59E90AD9" wp14:editId="3CE7A532">
                      <wp:simplePos x="0" y="0"/>
                      <wp:positionH relativeFrom="column">
                        <wp:posOffset>720725</wp:posOffset>
                      </wp:positionH>
                      <wp:positionV relativeFrom="paragraph">
                        <wp:posOffset>6187440</wp:posOffset>
                      </wp:positionV>
                      <wp:extent cx="6381750" cy="1334770"/>
                      <wp:effectExtent l="0" t="635"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81750" cy="13347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2E729" id="Rectangle 1" o:spid="_x0000_s1026" style="position:absolute;margin-left:56.75pt;margin-top:487.2pt;width:502.5pt;height:105.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LH7QEAAMcDAAAOAAAAZHJzL2Uyb0RvYy54bWysU8FuEzEQvSPxD5bvZLMNNNUqm6pqVYRU&#10;oKLlAxyvnbWwPWbsZBO+nrE3GyjcEBdrPB4/z3vzvLo+OMv2CqMB3/J6NudMeQmd8duWf32+f3PF&#10;WUzCd8KCVy0/qsiv169frYbQqAvowXYKGYH42Ayh5X1KoamqKHvlRJxBUJ4ONaATiba4rToUA6E7&#10;W13M55fVANgFBKlipOzdeMjXBV9rJdNnraNKzLacektlxbJu8lqtV6LZogi9kac2xD904YTx9OgZ&#10;6k4kwXZo/oJyRiJE0GkmwVWgtZGqcCA29fwPNk+9CKpwIXFiOMsU/x+s/LR/RGY6mh1nXjga0RcS&#10;TfitVazO8gwhNlT1FB4xE4zhAeS3yDzc9lSlbhBh6JXoqKkMcUqX1p+PgfAKSvUCJm8iAbLN8BE6&#10;qhG7BEW/g0aXnyFl2KGM6XgekzokJil5ubiql+9ompLO6sXi7XJZBlmJZroeMKb3ChzLQcuRKBV4&#10;sX+IiUhR6VSSX/Nwb6wtXrD+RYIKx4wqZjrdnvof1dlAdyQuCKO76DdQ0AP+4GwgZ7U8ft8JVJzZ&#10;D55UyjacApyCzRQIL+lqyxNnY3ibRrvuApptT8h1YeLhhjTTprDJ/YxdELW8IbcUkidnZzv+vi9V&#10;v/7f+icAAAD//wMAUEsDBBQABgAIAAAAIQBq/rR14gAAAA0BAAAPAAAAZHJzL2Rvd25yZXYueG1s&#10;TI/NTsMwEITvSLyDtUjcqBNISwhxKkCCQ1UJUX6PbuwmEfbaxG6avj2bE9x2dkez35TL0Ro26D50&#10;DgWkswSYxtqpDhsBb6+PFzmwECUqaRxqAUcdYFmdnpSyUO6AL3rYxIZRCIZCCmhj9AXnoW61lWHm&#10;vEa67VxvZSTZN1z18kDh1vDLJFlwKzukD630+qHV9fdmbwUMq/vk69m/754+5mH9adcro/yPEOdn&#10;490tsKjH+GeGCZ/QoSKmrdujCsyQTq/mZBVwc51lwCZHmua02k5Tni2AVyX/36L6BQAA//8DAFBL&#10;AQItABQABgAIAAAAIQC2gziS/gAAAOEBAAATAAAAAAAAAAAAAAAAAAAAAABbQ29udGVudF9UeXBl&#10;c10ueG1sUEsBAi0AFAAGAAgAAAAhADj9If/WAAAAlAEAAAsAAAAAAAAAAAAAAAAALwEAAF9yZWxz&#10;Ly5yZWxzUEsBAi0AFAAGAAgAAAAhAG+TAsftAQAAxwMAAA4AAAAAAAAAAAAAAAAALgIAAGRycy9l&#10;Mm9Eb2MueG1sUEsBAi0AFAAGAAgAAAAhAGr+tHXiAAAADQEAAA8AAAAAAAAAAAAAAAAARwQAAGRy&#10;cy9kb3ducmV2LnhtbFBLBQYAAAAABAAEAPMAAABWBQAAAAA=&#10;" filled="f" stroked="f" insetpen="t">
                      <v:shadow color="#ccc"/>
                      <o:lock v:ext="edit" shapetype="t"/>
                      <v:textbox inset="0,0,0,0"/>
                    </v:rect>
                  </w:pict>
                </mc:Fallback>
              </mc:AlternateContent>
            </w:r>
            <w:r w:rsidRPr="00026249">
              <w:rPr>
                <w:rFonts w:ascii="Arial" w:hAnsi="Arial" w:cs="Arial"/>
                <w:b/>
                <w:bCs/>
                <w:sz w:val="20"/>
                <w:szCs w:val="20"/>
              </w:rPr>
              <w:t>Dr Sam Postings, Named Doctor for CDOP &amp; Safeguarding Children</w:t>
            </w:r>
          </w:p>
        </w:tc>
        <w:tc>
          <w:tcPr>
            <w:tcW w:w="4961" w:type="dxa"/>
            <w:shd w:val="clear" w:color="auto" w:fill="DDD9C3" w:themeFill="background2" w:themeFillShade="E6"/>
            <w:tcMar>
              <w:top w:w="58" w:type="dxa"/>
              <w:left w:w="58" w:type="dxa"/>
              <w:bottom w:w="58" w:type="dxa"/>
              <w:right w:w="58" w:type="dxa"/>
            </w:tcMar>
            <w:hideMark/>
          </w:tcPr>
          <w:p w14:paraId="3E50B5BF" w14:textId="08EBDBC3" w:rsidR="00E61DA1" w:rsidRPr="00026249" w:rsidRDefault="00A73DAC" w:rsidP="00E61DA1">
            <w:pPr>
              <w:keepNext/>
              <w:numPr>
                <w:ilvl w:val="2"/>
                <w:numId w:val="3"/>
              </w:numPr>
              <w:spacing w:before="240" w:after="120" w:line="240" w:lineRule="auto"/>
              <w:outlineLvl w:val="2"/>
              <w:rPr>
                <w:rFonts w:ascii="Arial" w:hAnsi="Arial" w:cs="Arial"/>
                <w:sz w:val="20"/>
                <w:szCs w:val="20"/>
              </w:rPr>
            </w:pPr>
            <w:r w:rsidRPr="00026249">
              <w:rPr>
                <w:rFonts w:ascii="Arial" w:hAnsi="Arial" w:cs="Arial"/>
                <w:b/>
                <w:bCs/>
                <w:sz w:val="20"/>
                <w:szCs w:val="20"/>
              </w:rPr>
              <w:t xml:space="preserve">Email: </w:t>
            </w:r>
            <w:hyperlink r:id="rId10" w:history="1">
              <w:r w:rsidRPr="00026249">
                <w:rPr>
                  <w:rFonts w:ascii="Arial" w:hAnsi="Arial" w:cs="Arial"/>
                  <w:color w:val="0000FF"/>
                  <w:sz w:val="20"/>
                  <w:szCs w:val="20"/>
                  <w:u w:val="single"/>
                </w:rPr>
                <w:t>SamJ.Postings1@nhs.net</w:t>
              </w:r>
            </w:hyperlink>
            <w:r w:rsidRPr="00026249">
              <w:rPr>
                <w:rFonts w:ascii="Arial" w:hAnsi="Arial" w:cs="Arial"/>
                <w:sz w:val="20"/>
                <w:szCs w:val="20"/>
              </w:rPr>
              <w:t xml:space="preserve">, </w:t>
            </w:r>
            <w:hyperlink r:id="rId11" w:history="1">
              <w:r w:rsidRPr="00026249">
                <w:rPr>
                  <w:rFonts w:ascii="Arial" w:hAnsi="Arial" w:cs="Arial"/>
                  <w:color w:val="0000FF"/>
                  <w:sz w:val="20"/>
                  <w:szCs w:val="20"/>
                  <w:u w:val="single"/>
                </w:rPr>
                <w:t>Shropcom.cdop@nhs.net</w:t>
              </w:r>
            </w:hyperlink>
            <w:r w:rsidRPr="00026249">
              <w:rPr>
                <w:rFonts w:ascii="Arial" w:hAnsi="Arial" w:cs="Arial"/>
                <w:sz w:val="20"/>
                <w:szCs w:val="20"/>
              </w:rPr>
              <w:t xml:space="preserve">  </w:t>
            </w:r>
          </w:p>
          <w:p w14:paraId="52B3EF51" w14:textId="4737AF66" w:rsidR="00A73DAC"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sz w:val="20"/>
                <w:szCs w:val="20"/>
              </w:rPr>
              <w:t>Telephone: 01952 567308 (Secretaries)</w:t>
            </w:r>
          </w:p>
        </w:tc>
      </w:tr>
      <w:tr w:rsidR="00A73DAC" w:rsidRPr="00E61DA1" w14:paraId="0B84A403" w14:textId="77777777" w:rsidTr="00026249">
        <w:trPr>
          <w:trHeight w:val="949"/>
        </w:trPr>
        <w:tc>
          <w:tcPr>
            <w:tcW w:w="4169" w:type="dxa"/>
            <w:shd w:val="clear" w:color="auto" w:fill="DDD9C3" w:themeFill="background2" w:themeFillShade="E6"/>
            <w:tcMar>
              <w:top w:w="58" w:type="dxa"/>
              <w:left w:w="58" w:type="dxa"/>
              <w:bottom w:w="58" w:type="dxa"/>
              <w:right w:w="58" w:type="dxa"/>
            </w:tcMar>
            <w:hideMark/>
          </w:tcPr>
          <w:p w14:paraId="3FF41811" w14:textId="77777777" w:rsidR="00A73DAC" w:rsidRPr="00026249" w:rsidRDefault="00A73DAC" w:rsidP="00E61DA1">
            <w:pPr>
              <w:keepNext/>
              <w:spacing w:before="240" w:after="120"/>
              <w:outlineLvl w:val="2"/>
              <w:rPr>
                <w:rFonts w:ascii="Arial" w:hAnsi="Arial" w:cs="Arial"/>
                <w:b/>
                <w:bCs/>
                <w:sz w:val="20"/>
                <w:szCs w:val="20"/>
              </w:rPr>
            </w:pPr>
            <w:r w:rsidRPr="00026249">
              <w:rPr>
                <w:rFonts w:ascii="Arial" w:hAnsi="Arial" w:cs="Arial"/>
                <w:b/>
                <w:bCs/>
                <w:sz w:val="20"/>
                <w:szCs w:val="20"/>
              </w:rPr>
              <w:t>Bea Jones, Nurse Specialist, Child Death Reviews</w:t>
            </w:r>
          </w:p>
        </w:tc>
        <w:tc>
          <w:tcPr>
            <w:tcW w:w="4961" w:type="dxa"/>
            <w:shd w:val="clear" w:color="auto" w:fill="DDD9C3" w:themeFill="background2" w:themeFillShade="E6"/>
            <w:tcMar>
              <w:top w:w="58" w:type="dxa"/>
              <w:left w:w="58" w:type="dxa"/>
              <w:bottom w:w="58" w:type="dxa"/>
              <w:right w:w="58" w:type="dxa"/>
            </w:tcMar>
            <w:hideMark/>
          </w:tcPr>
          <w:p w14:paraId="2D83671C" w14:textId="0BE231F2" w:rsidR="00E61DA1"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sz w:val="20"/>
                <w:szCs w:val="20"/>
              </w:rPr>
              <w:t xml:space="preserve">Email: </w:t>
            </w:r>
            <w:hyperlink r:id="rId12" w:history="1">
              <w:r w:rsidRPr="00026249">
                <w:rPr>
                  <w:rFonts w:ascii="Arial" w:hAnsi="Arial" w:cs="Arial"/>
                  <w:color w:val="0000FF"/>
                  <w:sz w:val="20"/>
                  <w:szCs w:val="20"/>
                  <w:u w:val="single"/>
                </w:rPr>
                <w:t>Bernadette.Jones1@nhs.net</w:t>
              </w:r>
            </w:hyperlink>
            <w:r w:rsidRPr="00026249">
              <w:rPr>
                <w:rFonts w:ascii="Arial" w:hAnsi="Arial" w:cs="Arial"/>
                <w:sz w:val="20"/>
                <w:szCs w:val="20"/>
              </w:rPr>
              <w:t xml:space="preserve">, </w:t>
            </w:r>
            <w:hyperlink r:id="rId13" w:history="1">
              <w:r w:rsidRPr="00026249">
                <w:rPr>
                  <w:rFonts w:ascii="Arial" w:hAnsi="Arial" w:cs="Arial"/>
                  <w:color w:val="0000FF"/>
                  <w:sz w:val="20"/>
                  <w:szCs w:val="20"/>
                  <w:u w:val="single"/>
                </w:rPr>
                <w:t>Shropcom.cdop@nhs.net</w:t>
              </w:r>
            </w:hyperlink>
          </w:p>
          <w:p w14:paraId="124C1314" w14:textId="39592F96" w:rsidR="00A73DAC"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sz w:val="20"/>
                <w:szCs w:val="20"/>
              </w:rPr>
              <w:t>Mobile: 07826 901962 / 01952 580312</w:t>
            </w:r>
          </w:p>
        </w:tc>
      </w:tr>
      <w:tr w:rsidR="00A73DAC" w:rsidRPr="00E61DA1" w14:paraId="0B51983E" w14:textId="77777777" w:rsidTr="00026249">
        <w:trPr>
          <w:trHeight w:val="1037"/>
        </w:trPr>
        <w:tc>
          <w:tcPr>
            <w:tcW w:w="4169" w:type="dxa"/>
            <w:shd w:val="clear" w:color="auto" w:fill="DDD9C3" w:themeFill="background2" w:themeFillShade="E6"/>
            <w:tcMar>
              <w:top w:w="58" w:type="dxa"/>
              <w:left w:w="58" w:type="dxa"/>
              <w:bottom w:w="58" w:type="dxa"/>
              <w:right w:w="58" w:type="dxa"/>
            </w:tcMar>
            <w:hideMark/>
          </w:tcPr>
          <w:p w14:paraId="7A94ADF9" w14:textId="07F30108" w:rsidR="00A73DAC"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sz w:val="20"/>
                <w:szCs w:val="20"/>
              </w:rPr>
              <w:t>Sam Wheatley, CDOP Administrator</w:t>
            </w:r>
            <w:r w:rsidR="00E61DA1" w:rsidRPr="00026249">
              <w:rPr>
                <w:rFonts w:ascii="Arial" w:hAnsi="Arial" w:cs="Arial"/>
                <w:b/>
                <w:bCs/>
                <w:sz w:val="20"/>
                <w:szCs w:val="20"/>
              </w:rPr>
              <w:t xml:space="preserve"> and </w:t>
            </w:r>
            <w:r w:rsidRPr="00026249">
              <w:rPr>
                <w:rFonts w:ascii="Arial" w:hAnsi="Arial" w:cs="Arial"/>
                <w:b/>
                <w:bCs/>
                <w:sz w:val="20"/>
                <w:szCs w:val="20"/>
              </w:rPr>
              <w:t>Secretary to Head of Safeguarding</w:t>
            </w:r>
          </w:p>
        </w:tc>
        <w:tc>
          <w:tcPr>
            <w:tcW w:w="4961" w:type="dxa"/>
            <w:shd w:val="clear" w:color="auto" w:fill="DDD9C3" w:themeFill="background2" w:themeFillShade="E6"/>
            <w:tcMar>
              <w:top w:w="58" w:type="dxa"/>
              <w:left w:w="58" w:type="dxa"/>
              <w:bottom w:w="58" w:type="dxa"/>
              <w:right w:w="58" w:type="dxa"/>
            </w:tcMar>
            <w:hideMark/>
          </w:tcPr>
          <w:p w14:paraId="206C57FD" w14:textId="5B87EF15" w:rsidR="00E61DA1"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sz w:val="20"/>
                <w:szCs w:val="20"/>
              </w:rPr>
              <w:t xml:space="preserve">Email: </w:t>
            </w:r>
            <w:hyperlink r:id="rId14" w:history="1">
              <w:r w:rsidRPr="00026249">
                <w:rPr>
                  <w:rFonts w:ascii="Arial" w:hAnsi="Arial" w:cs="Arial"/>
                  <w:color w:val="0000FF"/>
                  <w:sz w:val="20"/>
                  <w:szCs w:val="20"/>
                  <w:u w:val="single"/>
                </w:rPr>
                <w:t>Sam.Wheatley@nhs.net</w:t>
              </w:r>
            </w:hyperlink>
            <w:r w:rsidRPr="00026249">
              <w:rPr>
                <w:rFonts w:ascii="Arial" w:hAnsi="Arial" w:cs="Arial"/>
                <w:sz w:val="20"/>
                <w:szCs w:val="20"/>
              </w:rPr>
              <w:t xml:space="preserve">,  </w:t>
            </w:r>
            <w:hyperlink r:id="rId15" w:history="1">
              <w:r w:rsidRPr="00026249">
                <w:rPr>
                  <w:rFonts w:ascii="Arial" w:hAnsi="Arial" w:cs="Arial"/>
                  <w:color w:val="0000FF"/>
                  <w:sz w:val="20"/>
                  <w:szCs w:val="20"/>
                  <w:u w:val="single"/>
                </w:rPr>
                <w:t>Shropcom.cdop@nhs.net</w:t>
              </w:r>
            </w:hyperlink>
            <w:r w:rsidRPr="00026249">
              <w:rPr>
                <w:rFonts w:ascii="Arial" w:hAnsi="Arial" w:cs="Arial"/>
                <w:b/>
                <w:bCs/>
                <w:sz w:val="20"/>
                <w:szCs w:val="20"/>
              </w:rPr>
              <w:t xml:space="preserve"> </w:t>
            </w:r>
          </w:p>
          <w:p w14:paraId="34E33413" w14:textId="7FA2B7A6" w:rsidR="00A73DAC" w:rsidRPr="00026249" w:rsidRDefault="00A73DAC" w:rsidP="00E61DA1">
            <w:pPr>
              <w:keepNext/>
              <w:numPr>
                <w:ilvl w:val="2"/>
                <w:numId w:val="3"/>
              </w:numPr>
              <w:spacing w:before="240" w:after="120" w:line="240" w:lineRule="auto"/>
              <w:outlineLvl w:val="2"/>
              <w:rPr>
                <w:rFonts w:ascii="Arial" w:hAnsi="Arial" w:cs="Arial"/>
                <w:b/>
                <w:bCs/>
                <w:sz w:val="20"/>
                <w:szCs w:val="20"/>
              </w:rPr>
            </w:pPr>
            <w:r w:rsidRPr="00026249">
              <w:rPr>
                <w:rFonts w:ascii="Arial" w:hAnsi="Arial" w:cs="Arial"/>
                <w:b/>
                <w:bCs/>
                <w:sz w:val="20"/>
                <w:szCs w:val="20"/>
              </w:rPr>
              <w:t>Mobile: 07811 731984 / 01952 580387</w:t>
            </w:r>
          </w:p>
        </w:tc>
      </w:tr>
    </w:tbl>
    <w:p w14:paraId="38C27469" w14:textId="16F8A8AE" w:rsidR="00A73DAC" w:rsidRPr="00E61DA1" w:rsidRDefault="00A73DAC" w:rsidP="004214DC">
      <w:pPr>
        <w:spacing w:after="160"/>
        <w:ind w:left="720"/>
        <w:contextualSpacing/>
        <w:jc w:val="both"/>
        <w:rPr>
          <w:rFonts w:ascii="Arial" w:hAnsi="Arial" w:cs="Arial"/>
        </w:rPr>
      </w:pPr>
    </w:p>
    <w:p w14:paraId="5C6BC817" w14:textId="4BDFED2D" w:rsidR="00A73DAC" w:rsidRPr="00E61DA1" w:rsidRDefault="00A73DAC" w:rsidP="004214DC">
      <w:pPr>
        <w:spacing w:after="160"/>
        <w:contextualSpacing/>
        <w:jc w:val="both"/>
        <w:rPr>
          <w:rFonts w:ascii="Arial" w:hAnsi="Arial" w:cs="Arial"/>
        </w:rPr>
      </w:pPr>
      <w:r w:rsidRPr="00026249">
        <w:rPr>
          <w:rFonts w:ascii="Arial" w:hAnsi="Arial" w:cs="Arial"/>
          <w:b/>
          <w:bCs/>
          <w:i/>
          <w:iCs/>
        </w:rPr>
        <w:t>What happens in each case?</w:t>
      </w:r>
      <w:r w:rsidRPr="00E61DA1">
        <w:rPr>
          <w:rFonts w:ascii="Arial" w:hAnsi="Arial" w:cs="Arial"/>
        </w:rPr>
        <w:t xml:space="preserve"> </w:t>
      </w:r>
      <w:r w:rsidR="00026249">
        <w:rPr>
          <w:rFonts w:ascii="Arial" w:hAnsi="Arial" w:cs="Arial"/>
        </w:rPr>
        <w:t xml:space="preserve"> </w:t>
      </w:r>
      <w:r w:rsidRPr="00E61DA1">
        <w:rPr>
          <w:rFonts w:ascii="Arial" w:hAnsi="Arial" w:cs="Arial"/>
        </w:rPr>
        <w:t xml:space="preserve">When a child dies unexpectedly, the </w:t>
      </w:r>
      <w:r w:rsidR="0057346E" w:rsidRPr="00E61DA1">
        <w:rPr>
          <w:rFonts w:ascii="Arial" w:hAnsi="Arial" w:cs="Arial"/>
        </w:rPr>
        <w:t>CDOP</w:t>
      </w:r>
      <w:r w:rsidRPr="00E61DA1">
        <w:rPr>
          <w:rFonts w:ascii="Arial" w:hAnsi="Arial" w:cs="Arial"/>
        </w:rPr>
        <w:t xml:space="preserve"> team are informed. </w:t>
      </w:r>
      <w:r w:rsidR="00B076F9">
        <w:rPr>
          <w:rFonts w:ascii="Arial" w:hAnsi="Arial" w:cs="Arial"/>
        </w:rPr>
        <w:t xml:space="preserve"> </w:t>
      </w:r>
      <w:r w:rsidRPr="00E61DA1">
        <w:rPr>
          <w:rFonts w:ascii="Arial" w:hAnsi="Arial" w:cs="Arial"/>
        </w:rPr>
        <w:t xml:space="preserve">They initiate an immediate information gathering, </w:t>
      </w:r>
      <w:r w:rsidR="004214DC" w:rsidRPr="00E61DA1">
        <w:rPr>
          <w:rFonts w:ascii="Arial" w:hAnsi="Arial" w:cs="Arial"/>
        </w:rPr>
        <w:t>sharing,</w:t>
      </w:r>
      <w:r w:rsidRPr="00E61DA1">
        <w:rPr>
          <w:rFonts w:ascii="Arial" w:hAnsi="Arial" w:cs="Arial"/>
        </w:rPr>
        <w:t xml:space="preserve"> and planning discussion between the lead agencies, </w:t>
      </w:r>
      <w:r w:rsidR="004214DC" w:rsidRPr="00E61DA1">
        <w:rPr>
          <w:rFonts w:ascii="Arial" w:hAnsi="Arial" w:cs="Arial"/>
        </w:rPr>
        <w:t>e.g.,</w:t>
      </w:r>
      <w:r w:rsidRPr="00E61DA1">
        <w:rPr>
          <w:rFonts w:ascii="Arial" w:hAnsi="Arial" w:cs="Arial"/>
        </w:rPr>
        <w:t xml:space="preserve"> </w:t>
      </w:r>
      <w:r w:rsidR="00B076F9">
        <w:rPr>
          <w:rFonts w:ascii="Arial" w:hAnsi="Arial" w:cs="Arial"/>
        </w:rPr>
        <w:t>H</w:t>
      </w:r>
      <w:r w:rsidRPr="00E61DA1">
        <w:rPr>
          <w:rFonts w:ascii="Arial" w:hAnsi="Arial" w:cs="Arial"/>
        </w:rPr>
        <w:t xml:space="preserve">ealth, </w:t>
      </w:r>
      <w:r w:rsidR="00B076F9">
        <w:rPr>
          <w:rFonts w:ascii="Arial" w:hAnsi="Arial" w:cs="Arial"/>
        </w:rPr>
        <w:t>P</w:t>
      </w:r>
      <w:r w:rsidRPr="00E61DA1">
        <w:rPr>
          <w:rFonts w:ascii="Arial" w:hAnsi="Arial" w:cs="Arial"/>
        </w:rPr>
        <w:t xml:space="preserve">olice, </w:t>
      </w:r>
      <w:r w:rsidR="00B076F9">
        <w:rPr>
          <w:rFonts w:ascii="Arial" w:hAnsi="Arial" w:cs="Arial"/>
        </w:rPr>
        <w:t>S</w:t>
      </w:r>
      <w:r w:rsidRPr="00E61DA1">
        <w:rPr>
          <w:rFonts w:ascii="Arial" w:hAnsi="Arial" w:cs="Arial"/>
        </w:rPr>
        <w:t>ocial</w:t>
      </w:r>
      <w:r w:rsidR="00B076F9">
        <w:rPr>
          <w:rFonts w:ascii="Arial" w:hAnsi="Arial" w:cs="Arial"/>
        </w:rPr>
        <w:t xml:space="preserve"> C</w:t>
      </w:r>
      <w:r w:rsidR="004214DC" w:rsidRPr="00E61DA1">
        <w:rPr>
          <w:rFonts w:ascii="Arial" w:hAnsi="Arial" w:cs="Arial"/>
        </w:rPr>
        <w:t>are,</w:t>
      </w:r>
      <w:r w:rsidRPr="00E61DA1">
        <w:rPr>
          <w:rFonts w:ascii="Arial" w:hAnsi="Arial" w:cs="Arial"/>
        </w:rPr>
        <w:t xml:space="preserve"> and </w:t>
      </w:r>
      <w:r w:rsidR="00B076F9">
        <w:rPr>
          <w:rFonts w:ascii="Arial" w:hAnsi="Arial" w:cs="Arial"/>
        </w:rPr>
        <w:t>E</w:t>
      </w:r>
      <w:r w:rsidRPr="00E61DA1">
        <w:rPr>
          <w:rFonts w:ascii="Arial" w:hAnsi="Arial" w:cs="Arial"/>
        </w:rPr>
        <w:t xml:space="preserve">ducation. </w:t>
      </w:r>
      <w:r w:rsidR="00B076F9">
        <w:rPr>
          <w:rFonts w:ascii="Arial" w:hAnsi="Arial" w:cs="Arial"/>
        </w:rPr>
        <w:t xml:space="preserve"> </w:t>
      </w:r>
      <w:r w:rsidRPr="00E61DA1">
        <w:rPr>
          <w:rFonts w:ascii="Arial" w:hAnsi="Arial" w:cs="Arial"/>
        </w:rPr>
        <w:t xml:space="preserve">Depending on the circumstances of the death the CDOP team will decide whether or not to visit the place where the child died. </w:t>
      </w:r>
      <w:r w:rsidR="00B076F9">
        <w:rPr>
          <w:rFonts w:ascii="Arial" w:hAnsi="Arial" w:cs="Arial"/>
        </w:rPr>
        <w:t xml:space="preserve"> </w:t>
      </w:r>
      <w:r w:rsidRPr="00E61DA1">
        <w:rPr>
          <w:rFonts w:ascii="Arial" w:hAnsi="Arial" w:cs="Arial"/>
        </w:rPr>
        <w:t xml:space="preserve">The visit should take place within 72 hours of the death wherever possible. </w:t>
      </w:r>
      <w:r w:rsidR="00B076F9">
        <w:rPr>
          <w:rFonts w:ascii="Arial" w:hAnsi="Arial" w:cs="Arial"/>
        </w:rPr>
        <w:t xml:space="preserve"> </w:t>
      </w:r>
      <w:r w:rsidRPr="00E61DA1">
        <w:rPr>
          <w:rFonts w:ascii="Arial" w:hAnsi="Arial" w:cs="Arial"/>
        </w:rPr>
        <w:t xml:space="preserve">The information relating to the circumstances of the death and the relevant health or social care history must be included in the report to the </w:t>
      </w:r>
      <w:r w:rsidR="00B076F9">
        <w:rPr>
          <w:rFonts w:ascii="Arial" w:hAnsi="Arial" w:cs="Arial"/>
        </w:rPr>
        <w:t>C</w:t>
      </w:r>
      <w:r w:rsidRPr="00E61DA1">
        <w:rPr>
          <w:rFonts w:ascii="Arial" w:hAnsi="Arial" w:cs="Arial"/>
        </w:rPr>
        <w:t>oroner within 28 days of the child dying. Following the completion of the post mortem examination, practitioners from all the agencies involved in the deceased child’s life will be invited to a</w:t>
      </w:r>
      <w:r w:rsidR="0057346E" w:rsidRPr="00E61DA1">
        <w:rPr>
          <w:rFonts w:ascii="Arial" w:hAnsi="Arial" w:cs="Arial"/>
        </w:rPr>
        <w:t>nother SUDIC/Information sharing</w:t>
      </w:r>
      <w:r w:rsidRPr="00E61DA1">
        <w:rPr>
          <w:rFonts w:ascii="Arial" w:hAnsi="Arial" w:cs="Arial"/>
        </w:rPr>
        <w:t xml:space="preserve"> meeting. The aim of the meeting is to review the information surrounding the child’s death and gather any further information that may raise concerns about safeguarding issues. Once the post-mortem report is available a final case discussion</w:t>
      </w:r>
      <w:r w:rsidR="0057346E" w:rsidRPr="00E61DA1">
        <w:rPr>
          <w:rFonts w:ascii="Arial" w:hAnsi="Arial" w:cs="Arial"/>
        </w:rPr>
        <w:t>/Child Death Review</w:t>
      </w:r>
      <w:r w:rsidRPr="00E61DA1">
        <w:rPr>
          <w:rFonts w:ascii="Arial" w:hAnsi="Arial" w:cs="Arial"/>
        </w:rPr>
        <w:t xml:space="preserve"> meeting is held. </w:t>
      </w:r>
      <w:r w:rsidR="00CC3D59">
        <w:rPr>
          <w:rFonts w:ascii="Arial" w:hAnsi="Arial" w:cs="Arial"/>
        </w:rPr>
        <w:t xml:space="preserve"> </w:t>
      </w:r>
      <w:r w:rsidRPr="00E61DA1">
        <w:rPr>
          <w:rFonts w:ascii="Arial" w:hAnsi="Arial" w:cs="Arial"/>
        </w:rPr>
        <w:t xml:space="preserve">This is usually within 12 </w:t>
      </w:r>
      <w:r w:rsidR="0057346E" w:rsidRPr="00E61DA1">
        <w:rPr>
          <w:rFonts w:ascii="Arial" w:hAnsi="Arial" w:cs="Arial"/>
        </w:rPr>
        <w:t>months</w:t>
      </w:r>
      <w:r w:rsidRPr="00E61DA1">
        <w:rPr>
          <w:rFonts w:ascii="Arial" w:hAnsi="Arial" w:cs="Arial"/>
        </w:rPr>
        <w:t xml:space="preserve"> of the death and will be convened by the Child Death Overview Process Team. The purpose of the meeting is to share information regarding any factors that may have contributed to the death and to plan future care for the family.</w:t>
      </w:r>
    </w:p>
    <w:p w14:paraId="704120DF" w14:textId="0D970154" w:rsidR="0057346E" w:rsidRPr="00E61DA1" w:rsidRDefault="0057346E" w:rsidP="004214DC">
      <w:pPr>
        <w:spacing w:after="160"/>
        <w:contextualSpacing/>
        <w:jc w:val="both"/>
        <w:rPr>
          <w:rFonts w:ascii="Arial" w:hAnsi="Arial" w:cs="Arial"/>
        </w:rPr>
      </w:pPr>
    </w:p>
    <w:p w14:paraId="751A9FCC" w14:textId="0D297D8C" w:rsidR="0057346E" w:rsidRPr="00026249" w:rsidRDefault="0057346E" w:rsidP="004214DC">
      <w:pPr>
        <w:spacing w:after="160"/>
        <w:contextualSpacing/>
        <w:jc w:val="both"/>
        <w:rPr>
          <w:rFonts w:ascii="Arial" w:hAnsi="Arial" w:cs="Arial"/>
          <w:b/>
          <w:bCs/>
          <w:i/>
          <w:iCs/>
        </w:rPr>
      </w:pPr>
      <w:r w:rsidRPr="00026249">
        <w:rPr>
          <w:rFonts w:ascii="Arial" w:hAnsi="Arial" w:cs="Arial"/>
          <w:b/>
          <w:bCs/>
          <w:i/>
          <w:iCs/>
        </w:rPr>
        <w:t>Further information can be found here:</w:t>
      </w:r>
    </w:p>
    <w:p w14:paraId="3A11B916" w14:textId="77777777" w:rsidR="0057346E" w:rsidRPr="00026249" w:rsidRDefault="00A20AEA" w:rsidP="004214DC">
      <w:pPr>
        <w:jc w:val="both"/>
        <w:rPr>
          <w:rFonts w:ascii="Arial" w:hAnsi="Arial" w:cs="Arial"/>
          <w:color w:val="0000FF" w:themeColor="hyperlink"/>
          <w:sz w:val="20"/>
          <w:szCs w:val="20"/>
          <w:u w:val="single"/>
        </w:rPr>
      </w:pPr>
      <w:hyperlink r:id="rId16" w:history="1">
        <w:r w:rsidR="0057346E" w:rsidRPr="00026249">
          <w:rPr>
            <w:rFonts w:ascii="Arial" w:hAnsi="Arial" w:cs="Arial"/>
            <w:color w:val="0000FF" w:themeColor="hyperlink"/>
            <w:sz w:val="20"/>
            <w:szCs w:val="20"/>
            <w:u w:val="single"/>
          </w:rPr>
          <w:t>https://assets.publishing.service.gov.uk/government/uploads/system/uploads/attachment_data/file/859302/child-death-review-statutory-and-operational-guidance-england.pdf</w:t>
        </w:r>
      </w:hyperlink>
    </w:p>
    <w:p w14:paraId="4F09403D" w14:textId="222C00DA" w:rsidR="0057346E" w:rsidRPr="00E61DA1" w:rsidRDefault="00A20AEA" w:rsidP="00026249">
      <w:pPr>
        <w:jc w:val="both"/>
        <w:rPr>
          <w:rFonts w:ascii="Arial" w:hAnsi="Arial" w:cs="Arial"/>
        </w:rPr>
      </w:pPr>
      <w:hyperlink r:id="rId17" w:history="1">
        <w:r w:rsidR="0057346E" w:rsidRPr="00026249">
          <w:rPr>
            <w:rFonts w:ascii="Arial" w:hAnsi="Arial" w:cs="Arial"/>
            <w:color w:val="0000FF"/>
            <w:sz w:val="20"/>
            <w:szCs w:val="20"/>
            <w:u w:val="single"/>
          </w:rPr>
          <w:t>https://www.rcpath.org/uploads/assets/874ae50e-c754-4933-995a804e0ef728a4/Sudden-unexpected-death-in-infancy-and-childhood-2e.pdf</w:t>
        </w:r>
      </w:hyperlink>
    </w:p>
    <w:sectPr w:rsidR="0057346E" w:rsidRPr="00E61DA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4E60" w14:textId="77777777" w:rsidR="00336412" w:rsidRDefault="00336412" w:rsidP="00336412">
      <w:pPr>
        <w:spacing w:after="0" w:line="240" w:lineRule="auto"/>
      </w:pPr>
      <w:r>
        <w:separator/>
      </w:r>
    </w:p>
  </w:endnote>
  <w:endnote w:type="continuationSeparator" w:id="0">
    <w:p w14:paraId="09652FF6" w14:textId="77777777" w:rsidR="00336412" w:rsidRDefault="00336412" w:rsidP="0033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978544"/>
      <w:docPartObj>
        <w:docPartGallery w:val="Page Numbers (Bottom of Page)"/>
        <w:docPartUnique/>
      </w:docPartObj>
    </w:sdtPr>
    <w:sdtEndPr>
      <w:rPr>
        <w:noProof/>
      </w:rPr>
    </w:sdtEndPr>
    <w:sdtContent>
      <w:p w14:paraId="7F059145" w14:textId="77777777" w:rsidR="00E61DA1" w:rsidRDefault="00E61DA1">
        <w:pPr>
          <w:pStyle w:val="Footer"/>
          <w:jc w:val="center"/>
        </w:pPr>
        <w:r>
          <w:rPr>
            <w:noProof/>
          </w:rPr>
          <mc:AlternateContent>
            <mc:Choice Requires="wps">
              <w:drawing>
                <wp:inline distT="0" distB="0" distL="0" distR="0" wp14:anchorId="28B1281A" wp14:editId="5DAF436D">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BBE2D4C"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WnNgIAAF8EAAAOAAAAZHJzL2Uyb0RvYy54bWysVE1vGyEQvVfqf0Dcm7UdO0lXWUeRI7eV&#10;3DZS2t4xC7uoLEMH7LXz6zuwGyf9OFXdAwJm5vHmPdjrm0Nn2V5hMOAqPj2bcKachNq4puJfv6zf&#10;XHEWonC1sOBUxY8q8Jvl61fXvS/VDFqwtUJGIC6Uva94G6MviyLIVnUinIFXjoIasBORltgUNYqe&#10;0DtbzCaTi6IHrD2CVCHQ7t0Q5MuMr7WS8bPWQUVmK07cYh4xj9s0FstrUTYofGvkSEP8A4tOGEeH&#10;nqDuRBRsh+YPqM5IhAA6nknoCtDaSJV7oG6mk9+6eWiFV7kXEif4k0zh/8HKT/t7ZKau+DlnTnRk&#10;0dpCL1uBsWR3SprkLKNgrYIk4TamaSNrAc0juChsUrD3oSSgB3+PSYPgNyC/B+Zg1QrXqFtE6Fsl&#10;auI9TfnFLwVpEaiUbfuPUBMBsYuQxTxo7Ji2xn9LhQmaBGOH7N7x5J46RCZpczG/uDxfkMmSYvPF&#10;5GqRzxJlgknFHkN8p6BjaVJxTX0SQYxPXeYTxH4TYuL4nJ9rRYxrY+1Ya+N7wMdcoJuVxdw2Nlua&#10;sr1Idy1/I4FTyvavuev8jbljSjp+PDJhW5dGB4nCQC7tZB2TdIMFW6iPJCPCcMvpVdKEnHrkrKcb&#10;XvHwYydQcWY/OLLi7XQ+T08iL+aLyxkt8GVk+zIinCSoikfOhukqDs9o5zFdiSeHHNySfdpkDZO1&#10;A6uRLN3iLO344tIzebnOWc//heVP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8MVpz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13A302B3" w14:textId="3CC6A5B3" w:rsidR="00E61DA1" w:rsidRDefault="00E61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03ABF" w14:textId="77777777" w:rsidR="00E61DA1" w:rsidRDefault="00E6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8505" w14:textId="77777777" w:rsidR="00336412" w:rsidRDefault="00336412" w:rsidP="00336412">
      <w:pPr>
        <w:spacing w:after="0" w:line="240" w:lineRule="auto"/>
      </w:pPr>
      <w:bookmarkStart w:id="0" w:name="_Hlk99344238"/>
      <w:bookmarkEnd w:id="0"/>
      <w:r>
        <w:separator/>
      </w:r>
    </w:p>
  </w:footnote>
  <w:footnote w:type="continuationSeparator" w:id="0">
    <w:p w14:paraId="7BC2DA8E" w14:textId="77777777" w:rsidR="00336412" w:rsidRDefault="00336412" w:rsidP="00336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5F20" w14:textId="5F35FF60" w:rsidR="00336412" w:rsidRDefault="00336412" w:rsidP="00336412">
    <w:pPr>
      <w:ind w:left="-1134" w:firstLine="141"/>
      <w:rPr>
        <w:lang w:val="en-US"/>
      </w:rPr>
    </w:pPr>
    <w:r>
      <w:rPr>
        <w:noProof/>
        <w:lang w:eastAsia="en-GB"/>
      </w:rPr>
      <w:t xml:space="preserve">                                            </w:t>
    </w:r>
  </w:p>
  <w:p w14:paraId="4F051954" w14:textId="16E63DE7" w:rsidR="00336412" w:rsidRDefault="00336412" w:rsidP="00336412">
    <w:pPr>
      <w:rPr>
        <w:rFonts w:ascii="Arial" w:eastAsia="Times New Roman" w:hAnsi="Arial" w:cs="Arial"/>
        <w:noProof/>
        <w:sz w:val="24"/>
        <w:szCs w:val="24"/>
        <w:lang w:eastAsia="en-GB"/>
      </w:rPr>
    </w:pPr>
  </w:p>
  <w:p w14:paraId="11A98907" w14:textId="77777777" w:rsidR="00336412" w:rsidRDefault="00336412" w:rsidP="00336412">
    <w:pPr>
      <w:rPr>
        <w:rFonts w:ascii="Arial" w:eastAsia="Times New Roman" w:hAnsi="Arial" w:cs="Arial"/>
        <w:sz w:val="24"/>
        <w:szCs w:val="24"/>
        <w:lang w:eastAsia="en-GB"/>
      </w:rPr>
    </w:pPr>
  </w:p>
  <w:p w14:paraId="541655D3" w14:textId="77777777" w:rsidR="00336412" w:rsidRDefault="00336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ECD"/>
    <w:multiLevelType w:val="multilevel"/>
    <w:tmpl w:val="421E0506"/>
    <w:lvl w:ilvl="0">
      <w:start w:val="1"/>
      <w:numFmt w:val="decimal"/>
      <w:pStyle w:val="Heading1"/>
      <w:lvlText w:val="%1"/>
      <w:lvlJc w:val="left"/>
      <w:pPr>
        <w:tabs>
          <w:tab w:val="num" w:pos="851"/>
        </w:tabs>
        <w:ind w:left="851" w:hanging="851"/>
      </w:pPr>
      <w:rPr>
        <w:rFonts w:cs="Arial" w:hint="default"/>
      </w:rPr>
    </w:lvl>
    <w:lvl w:ilvl="1">
      <w:start w:val="1"/>
      <w:numFmt w:val="decimal"/>
      <w:pStyle w:val="Heading2"/>
      <w:isLgl/>
      <w:lvlText w:val="%1.%2"/>
      <w:lvlJc w:val="left"/>
      <w:pPr>
        <w:tabs>
          <w:tab w:val="num" w:pos="0"/>
        </w:tabs>
        <w:ind w:left="0" w:hanging="851"/>
      </w:pPr>
      <w:rPr>
        <w:rFonts w:hint="default"/>
      </w:rPr>
    </w:lvl>
    <w:lvl w:ilvl="2">
      <w:start w:val="1"/>
      <w:numFmt w:val="decimal"/>
      <w:pStyle w:val="Heading3"/>
      <w:isLgl/>
      <w:lvlText w:val="%1.%2.%3"/>
      <w:lvlJc w:val="left"/>
      <w:pPr>
        <w:tabs>
          <w:tab w:val="num" w:pos="0"/>
        </w:tabs>
        <w:ind w:left="0" w:hanging="851"/>
      </w:pPr>
      <w:rPr>
        <w:rFonts w:hint="default"/>
      </w:rPr>
    </w:lvl>
    <w:lvl w:ilvl="3">
      <w:start w:val="1"/>
      <w:numFmt w:val="decimal"/>
      <w:pStyle w:val="Heading4"/>
      <w:isLgl/>
      <w:lvlText w:val="%1.%2.%3.%4"/>
      <w:lvlJc w:val="left"/>
      <w:pPr>
        <w:tabs>
          <w:tab w:val="num" w:pos="0"/>
        </w:tabs>
        <w:ind w:left="0" w:hanging="851"/>
      </w:pPr>
      <w:rPr>
        <w:rFonts w:hint="default"/>
      </w:rPr>
    </w:lvl>
    <w:lvl w:ilvl="4">
      <w:start w:val="1"/>
      <w:numFmt w:val="decimal"/>
      <w:isLgl/>
      <w:lvlText w:val="%1.%2.%3.%4.%5"/>
      <w:lvlJc w:val="left"/>
      <w:pPr>
        <w:tabs>
          <w:tab w:val="num" w:pos="1444"/>
        </w:tabs>
        <w:ind w:left="1444" w:hanging="1080"/>
      </w:pPr>
      <w:rPr>
        <w:rFonts w:hint="default"/>
      </w:rPr>
    </w:lvl>
    <w:lvl w:ilvl="5">
      <w:start w:val="1"/>
      <w:numFmt w:val="decimal"/>
      <w:isLgl/>
      <w:lvlText w:val="%1.%2.%3.%4.%5.%6"/>
      <w:lvlJc w:val="left"/>
      <w:pPr>
        <w:tabs>
          <w:tab w:val="num" w:pos="1444"/>
        </w:tabs>
        <w:ind w:left="1444" w:hanging="1080"/>
      </w:pPr>
      <w:rPr>
        <w:rFonts w:hint="default"/>
      </w:rPr>
    </w:lvl>
    <w:lvl w:ilvl="6">
      <w:start w:val="1"/>
      <w:numFmt w:val="decimal"/>
      <w:isLgl/>
      <w:lvlText w:val="%1.%2.%3.%4.%5.%6.%7"/>
      <w:lvlJc w:val="left"/>
      <w:pPr>
        <w:tabs>
          <w:tab w:val="num" w:pos="1804"/>
        </w:tabs>
        <w:ind w:left="1804" w:hanging="1440"/>
      </w:pPr>
      <w:rPr>
        <w:rFonts w:hint="default"/>
      </w:rPr>
    </w:lvl>
    <w:lvl w:ilvl="7">
      <w:start w:val="1"/>
      <w:numFmt w:val="decimal"/>
      <w:isLgl/>
      <w:lvlText w:val="%1.%2.%3.%4.%5.%6.%7.%8"/>
      <w:lvlJc w:val="left"/>
      <w:pPr>
        <w:tabs>
          <w:tab w:val="num" w:pos="1804"/>
        </w:tabs>
        <w:ind w:left="1804" w:hanging="1440"/>
      </w:pPr>
      <w:rPr>
        <w:rFonts w:hint="default"/>
      </w:rPr>
    </w:lvl>
    <w:lvl w:ilvl="8">
      <w:start w:val="1"/>
      <w:numFmt w:val="decimal"/>
      <w:isLgl/>
      <w:lvlText w:val="%1.%2.%3.%4.%5.%6.%7.%8.%9"/>
      <w:lvlJc w:val="left"/>
      <w:pPr>
        <w:tabs>
          <w:tab w:val="num" w:pos="2164"/>
        </w:tabs>
        <w:ind w:left="2164" w:hanging="1800"/>
      </w:pPr>
      <w:rPr>
        <w:rFonts w:hint="default"/>
      </w:rPr>
    </w:lvl>
  </w:abstractNum>
  <w:abstractNum w:abstractNumId="1" w15:restartNumberingAfterBreak="0">
    <w:nsid w:val="16A438CA"/>
    <w:multiLevelType w:val="hybridMultilevel"/>
    <w:tmpl w:val="3CDC3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4A0CD0"/>
    <w:multiLevelType w:val="hybridMultilevel"/>
    <w:tmpl w:val="51049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12"/>
    <w:rsid w:val="00026249"/>
    <w:rsid w:val="00336412"/>
    <w:rsid w:val="004214DC"/>
    <w:rsid w:val="0057346E"/>
    <w:rsid w:val="009F18A4"/>
    <w:rsid w:val="00A20AEA"/>
    <w:rsid w:val="00A73DAC"/>
    <w:rsid w:val="00B076F9"/>
    <w:rsid w:val="00CC3D59"/>
    <w:rsid w:val="00E6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9D795"/>
  <w15:chartTrackingRefBased/>
  <w15:docId w15:val="{2C3B709C-8CD1-4E79-8BA0-580F5BCB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3DAC"/>
    <w:pPr>
      <w:keepNext/>
      <w:numPr>
        <w:numId w:val="3"/>
      </w:numPr>
      <w:spacing w:before="240" w:after="120" w:line="240" w:lineRule="auto"/>
      <w:outlineLvl w:val="0"/>
    </w:pPr>
    <w:rPr>
      <w:rFonts w:ascii="Arial" w:eastAsia="Times New Roman" w:hAnsi="Arial" w:cs="Times New Roman"/>
      <w:b/>
      <w:bCs/>
      <w:kern w:val="32"/>
      <w:szCs w:val="32"/>
      <w:lang w:eastAsia="en-GB"/>
    </w:rPr>
  </w:style>
  <w:style w:type="paragraph" w:styleId="Heading2">
    <w:name w:val="heading 2"/>
    <w:basedOn w:val="Normal"/>
    <w:next w:val="Normal"/>
    <w:link w:val="Heading2Char"/>
    <w:qFormat/>
    <w:rsid w:val="00A73DAC"/>
    <w:pPr>
      <w:keepNext/>
      <w:numPr>
        <w:ilvl w:val="1"/>
        <w:numId w:val="3"/>
      </w:numPr>
      <w:spacing w:before="240" w:after="120" w:line="240" w:lineRule="auto"/>
      <w:outlineLvl w:val="1"/>
    </w:pPr>
    <w:rPr>
      <w:rFonts w:ascii="Arial" w:eastAsia="Times New Roman" w:hAnsi="Arial" w:cs="Times New Roman"/>
      <w:b/>
      <w:bCs/>
      <w:iCs/>
      <w:szCs w:val="28"/>
      <w:lang w:eastAsia="en-GB"/>
    </w:rPr>
  </w:style>
  <w:style w:type="paragraph" w:styleId="Heading3">
    <w:name w:val="heading 3"/>
    <w:basedOn w:val="Normal"/>
    <w:next w:val="Normal"/>
    <w:link w:val="Heading3Char"/>
    <w:qFormat/>
    <w:rsid w:val="00A73DAC"/>
    <w:pPr>
      <w:keepNext/>
      <w:numPr>
        <w:ilvl w:val="2"/>
        <w:numId w:val="3"/>
      </w:numPr>
      <w:spacing w:before="240" w:after="120" w:line="240" w:lineRule="auto"/>
      <w:outlineLvl w:val="2"/>
    </w:pPr>
    <w:rPr>
      <w:rFonts w:ascii="Arial" w:eastAsia="Times New Roman" w:hAnsi="Arial" w:cs="Times New Roman"/>
      <w:b/>
      <w:bCs/>
      <w:szCs w:val="26"/>
      <w:lang w:eastAsia="en-GB"/>
    </w:rPr>
  </w:style>
  <w:style w:type="paragraph" w:styleId="Heading4">
    <w:name w:val="heading 4"/>
    <w:basedOn w:val="Normal"/>
    <w:next w:val="Normal"/>
    <w:link w:val="Heading4Char"/>
    <w:qFormat/>
    <w:rsid w:val="00A73DAC"/>
    <w:pPr>
      <w:keepNext/>
      <w:numPr>
        <w:ilvl w:val="3"/>
        <w:numId w:val="3"/>
      </w:numPr>
      <w:spacing w:before="240" w:after="120" w:line="240" w:lineRule="auto"/>
      <w:outlineLvl w:val="3"/>
    </w:pPr>
    <w:rPr>
      <w:rFonts w:ascii="Arial" w:eastAsia="Times New Roman" w:hAnsi="Arial" w:cs="Times New Roman"/>
      <w:b/>
      <w:b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412"/>
  </w:style>
  <w:style w:type="paragraph" w:styleId="Footer">
    <w:name w:val="footer"/>
    <w:basedOn w:val="Normal"/>
    <w:link w:val="FooterChar"/>
    <w:uiPriority w:val="99"/>
    <w:unhideWhenUsed/>
    <w:rsid w:val="00336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412"/>
  </w:style>
  <w:style w:type="character" w:customStyle="1" w:styleId="Heading1Char">
    <w:name w:val="Heading 1 Char"/>
    <w:basedOn w:val="DefaultParagraphFont"/>
    <w:link w:val="Heading1"/>
    <w:rsid w:val="00A73DAC"/>
    <w:rPr>
      <w:rFonts w:ascii="Arial" w:eastAsia="Times New Roman" w:hAnsi="Arial" w:cs="Times New Roman"/>
      <w:b/>
      <w:bCs/>
      <w:kern w:val="32"/>
      <w:szCs w:val="32"/>
      <w:lang w:eastAsia="en-GB"/>
    </w:rPr>
  </w:style>
  <w:style w:type="character" w:customStyle="1" w:styleId="Heading2Char">
    <w:name w:val="Heading 2 Char"/>
    <w:basedOn w:val="DefaultParagraphFont"/>
    <w:link w:val="Heading2"/>
    <w:rsid w:val="00A73DAC"/>
    <w:rPr>
      <w:rFonts w:ascii="Arial" w:eastAsia="Times New Roman" w:hAnsi="Arial" w:cs="Times New Roman"/>
      <w:b/>
      <w:bCs/>
      <w:iCs/>
      <w:szCs w:val="28"/>
      <w:lang w:eastAsia="en-GB"/>
    </w:rPr>
  </w:style>
  <w:style w:type="character" w:customStyle="1" w:styleId="Heading3Char">
    <w:name w:val="Heading 3 Char"/>
    <w:basedOn w:val="DefaultParagraphFont"/>
    <w:link w:val="Heading3"/>
    <w:rsid w:val="00A73DAC"/>
    <w:rPr>
      <w:rFonts w:ascii="Arial" w:eastAsia="Times New Roman" w:hAnsi="Arial" w:cs="Times New Roman"/>
      <w:b/>
      <w:bCs/>
      <w:szCs w:val="26"/>
      <w:lang w:eastAsia="en-GB"/>
    </w:rPr>
  </w:style>
  <w:style w:type="character" w:customStyle="1" w:styleId="Heading4Char">
    <w:name w:val="Heading 4 Char"/>
    <w:basedOn w:val="DefaultParagraphFont"/>
    <w:link w:val="Heading4"/>
    <w:rsid w:val="00A73DAC"/>
    <w:rPr>
      <w:rFonts w:ascii="Arial" w:eastAsia="Times New Roman" w:hAnsi="Arial" w:cs="Times New Roman"/>
      <w:b/>
      <w:bCs/>
      <w:szCs w:val="28"/>
      <w:lang w:eastAsia="en-GB"/>
    </w:rPr>
  </w:style>
  <w:style w:type="paragraph" w:customStyle="1" w:styleId="Default">
    <w:name w:val="Default"/>
    <w:rsid w:val="00A73DA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png@01D5DC2C.D0F50D10" TargetMode="External"/><Relationship Id="rId13" Type="http://schemas.openxmlformats.org/officeDocument/2006/relationships/hyperlink" Target="mailto:Shropcom.cdop@nhs.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Bernadette.Jones1@nhs.net" TargetMode="External"/><Relationship Id="rId17" Type="http://schemas.openxmlformats.org/officeDocument/2006/relationships/hyperlink" Target="https://www.rcpath.org/uploads/assets/874ae50e-c754-4933-995a804e0ef728a4/Sudden-unexpected-death-in-infancy-and-childhood-2e.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859302/child-death-review-statutory-and-operational-guidance-england.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ropcom.cdop@nhs.net" TargetMode="External"/><Relationship Id="rId5" Type="http://schemas.openxmlformats.org/officeDocument/2006/relationships/footnotes" Target="footnotes.xml"/><Relationship Id="rId15" Type="http://schemas.openxmlformats.org/officeDocument/2006/relationships/hyperlink" Target="mailto:Shropcom.cdop@nhs.net" TargetMode="External"/><Relationship Id="rId10" Type="http://schemas.openxmlformats.org/officeDocument/2006/relationships/hyperlink" Target="mailto:SamJ.Postings1@nhs.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am.Wheatley@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Bernadette (SHROPSHIRE COMMUNITY HEALTH NHS TRUST)</dc:creator>
  <cp:keywords/>
  <dc:description/>
  <cp:lastModifiedBy>JONES, Bernadette (SHROPSHIRE COMMUNITY HEALTH NHS TRUST)</cp:lastModifiedBy>
  <cp:revision>2</cp:revision>
  <dcterms:created xsi:type="dcterms:W3CDTF">2022-03-29T12:10:00Z</dcterms:created>
  <dcterms:modified xsi:type="dcterms:W3CDTF">2022-03-29T12:10:00Z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1506194262</vt:i4>
  </property>
  <property fmtid="{D5CDD505-2E9C-101B-9397-08002B2CF9AE}" pid="3" name="_NewReviewCycle">
    <vt:lpwstr/>
  </property>
  <property fmtid="{D5CDD505-2E9C-101B-9397-08002B2CF9AE}" pid="4" name="_EmailSubject">
    <vt:lpwstr>Summary docs: CDOP and SUDiC - for NAI event</vt:lpwstr>
  </property>
  <property fmtid="{D5CDD505-2E9C-101B-9397-08002B2CF9AE}" pid="5" name="_AuthorEmail">
    <vt:lpwstr>bernadette.jones1@nhs.net</vt:lpwstr>
  </property>
  <property fmtid="{D5CDD505-2E9C-101B-9397-08002B2CF9AE}" pid="6" name="_AuthorEmailDisplayName">
    <vt:lpwstr>JONES, Bernadette (SHROPSHIRE COMMUNITY HEALTH NHS TRUST)</vt:lpwstr>
  </property>
  <property fmtid="{D5CDD505-2E9C-101B-9397-08002B2CF9AE}" pid="7" name="_PreviousAdHocReviewCycleID">
    <vt:i4>1577686035</vt:i4>
  </property>
</Properties>
</file>